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3E" w:rsidRPr="001048D5" w:rsidRDefault="0035623E" w:rsidP="0035623E">
      <w:pPr>
        <w:adjustRightInd w:val="0"/>
        <w:snapToGrid w:val="0"/>
        <w:spacing w:line="360" w:lineRule="auto"/>
        <w:jc w:val="center"/>
        <w:rPr>
          <w:rFonts w:ascii="华文中宋" w:eastAsia="华文中宋" w:hAnsi="华文中宋"/>
          <w:b/>
          <w:color w:val="FF0000"/>
          <w:sz w:val="44"/>
          <w:szCs w:val="44"/>
        </w:rPr>
      </w:pPr>
      <w:r w:rsidRPr="001048D5">
        <w:rPr>
          <w:rFonts w:ascii="华文中宋" w:eastAsia="华文中宋" w:hAnsi="华文中宋" w:hint="eastAsia"/>
          <w:b/>
          <w:color w:val="FF0000"/>
          <w:sz w:val="44"/>
          <w:szCs w:val="44"/>
        </w:rPr>
        <w:t>中国石油大学（北京）马克思主义学院文件</w:t>
      </w:r>
    </w:p>
    <w:tbl>
      <w:tblPr>
        <w:tblW w:w="0" w:type="auto"/>
        <w:tblBorders>
          <w:bottom w:val="single" w:sz="8" w:space="0" w:color="FF0000"/>
        </w:tblBorders>
        <w:tblLook w:val="01E0"/>
      </w:tblPr>
      <w:tblGrid>
        <w:gridCol w:w="9286"/>
      </w:tblGrid>
      <w:tr w:rsidR="0035623E" w:rsidRPr="00A70BE1" w:rsidTr="009611F4">
        <w:trPr>
          <w:trHeight w:val="534"/>
        </w:trPr>
        <w:tc>
          <w:tcPr>
            <w:tcW w:w="9286" w:type="dxa"/>
          </w:tcPr>
          <w:p w:rsidR="0035623E" w:rsidRPr="00A70BE1" w:rsidRDefault="0035623E" w:rsidP="008379D0">
            <w:pPr>
              <w:spacing w:line="500" w:lineRule="exact"/>
              <w:jc w:val="center"/>
              <w:rPr>
                <w:rFonts w:ascii="仿宋_GB2312" w:eastAsia="仿宋_GB2312"/>
                <w:color w:val="000000"/>
                <w:sz w:val="28"/>
              </w:rPr>
            </w:pPr>
            <w:r w:rsidRPr="000F1DA1">
              <w:rPr>
                <w:rFonts w:ascii="仿宋_GB2312" w:eastAsia="仿宋_GB2312" w:hint="eastAsia"/>
                <w:color w:val="000000"/>
                <w:sz w:val="28"/>
              </w:rPr>
              <w:t>中石大马院</w:t>
            </w:r>
            <w:r w:rsidRPr="00A70BE1">
              <w:rPr>
                <w:rFonts w:ascii="仿宋_GB2312" w:eastAsia="仿宋_GB2312" w:hint="eastAsia"/>
                <w:color w:val="000000"/>
                <w:sz w:val="28"/>
              </w:rPr>
              <w:t>〔</w:t>
            </w:r>
            <w:r>
              <w:rPr>
                <w:rFonts w:ascii="仿宋_GB2312" w:eastAsia="仿宋_GB2312" w:hint="eastAsia"/>
                <w:color w:val="000000"/>
                <w:sz w:val="28"/>
              </w:rPr>
              <w:t>201</w:t>
            </w:r>
            <w:r>
              <w:rPr>
                <w:rFonts w:ascii="仿宋_GB2312" w:eastAsia="仿宋_GB2312"/>
                <w:color w:val="000000"/>
                <w:sz w:val="28"/>
              </w:rPr>
              <w:t>8</w:t>
            </w:r>
            <w:r w:rsidRPr="00A70BE1">
              <w:rPr>
                <w:rFonts w:ascii="仿宋_GB2312" w:eastAsia="仿宋_GB2312" w:hint="eastAsia"/>
                <w:color w:val="000000"/>
                <w:sz w:val="28"/>
              </w:rPr>
              <w:t>〕</w:t>
            </w:r>
            <w:r>
              <w:rPr>
                <w:rFonts w:ascii="仿宋_GB2312" w:eastAsia="仿宋_GB2312" w:hint="eastAsia"/>
                <w:color w:val="000000"/>
                <w:sz w:val="28"/>
              </w:rPr>
              <w:t>1</w:t>
            </w:r>
            <w:r w:rsidR="008379D0">
              <w:rPr>
                <w:rFonts w:ascii="仿宋_GB2312" w:eastAsia="仿宋_GB2312" w:hint="eastAsia"/>
                <w:color w:val="000000"/>
                <w:sz w:val="28"/>
              </w:rPr>
              <w:t>1</w:t>
            </w:r>
            <w:r w:rsidRPr="00A70BE1">
              <w:rPr>
                <w:rFonts w:ascii="仿宋_GB2312" w:eastAsia="仿宋_GB2312" w:hint="eastAsia"/>
                <w:color w:val="000000"/>
                <w:sz w:val="28"/>
              </w:rPr>
              <w:t>号</w:t>
            </w:r>
          </w:p>
        </w:tc>
      </w:tr>
    </w:tbl>
    <w:p w:rsidR="0035623E" w:rsidRDefault="0035623E" w:rsidP="00F7643A">
      <w:pPr>
        <w:jc w:val="center"/>
        <w:rPr>
          <w:b/>
          <w:bCs/>
          <w:color w:val="2A2F35"/>
          <w:sz w:val="33"/>
          <w:szCs w:val="33"/>
        </w:rPr>
      </w:pPr>
    </w:p>
    <w:p w:rsidR="008379D0" w:rsidRPr="006D572F" w:rsidRDefault="008379D0" w:rsidP="008379D0">
      <w:pPr>
        <w:spacing w:after="220" w:line="300" w:lineRule="auto"/>
        <w:jc w:val="center"/>
        <w:rPr>
          <w:rFonts w:ascii="黑体" w:eastAsia="黑体" w:hAnsi="黑体" w:hint="eastAsia"/>
          <w:sz w:val="32"/>
          <w:szCs w:val="32"/>
        </w:rPr>
      </w:pPr>
      <w:r>
        <w:rPr>
          <w:rFonts w:ascii="黑体" w:eastAsia="黑体" w:hAnsi="黑体" w:hint="eastAsia"/>
          <w:sz w:val="32"/>
          <w:szCs w:val="32"/>
        </w:rPr>
        <w:t>马克思主义学院</w:t>
      </w:r>
      <w:r w:rsidRPr="00253ED6">
        <w:rPr>
          <w:rFonts w:ascii="黑体" w:eastAsia="黑体" w:hAnsi="黑体" w:hint="eastAsia"/>
          <w:sz w:val="32"/>
          <w:szCs w:val="32"/>
        </w:rPr>
        <w:t>研究生综合测评补充规定</w:t>
      </w:r>
    </w:p>
    <w:p w:rsidR="008379D0" w:rsidRPr="008379D0" w:rsidRDefault="008379D0" w:rsidP="008379D0">
      <w:pPr>
        <w:widowControl/>
        <w:adjustRightInd w:val="0"/>
        <w:snapToGrid w:val="0"/>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研究生综合测评是对研究生的德、智、体等各方面素质的综合评价，是评定奖学金、评选优秀研究生、直攻博士等的参考依据。根据《中国石油大学（北京）研究生综合测评办法》，结合我院实际情况，特制订本补充规定。</w:t>
      </w:r>
    </w:p>
    <w:p w:rsidR="008379D0" w:rsidRPr="008379D0" w:rsidRDefault="008379D0" w:rsidP="008379D0">
      <w:pPr>
        <w:widowControl/>
        <w:adjustRightInd w:val="0"/>
        <w:snapToGrid w:val="0"/>
        <w:spacing w:line="360" w:lineRule="auto"/>
        <w:jc w:val="left"/>
        <w:rPr>
          <w:rFonts w:ascii="仿宋_GB2312" w:eastAsia="仿宋_GB2312" w:hAnsi="仿宋" w:cs="宋体" w:hint="eastAsia"/>
          <w:b/>
          <w:kern w:val="0"/>
          <w:sz w:val="28"/>
          <w:szCs w:val="28"/>
        </w:rPr>
      </w:pPr>
      <w:r w:rsidRPr="008379D0">
        <w:rPr>
          <w:rFonts w:ascii="仿宋_GB2312" w:eastAsia="仿宋_GB2312" w:hAnsi="仿宋" w:cs="宋体" w:hint="eastAsia"/>
          <w:b/>
          <w:kern w:val="0"/>
          <w:sz w:val="28"/>
          <w:szCs w:val="28"/>
        </w:rPr>
        <w:t>一、德育评估</w:t>
      </w:r>
    </w:p>
    <w:p w:rsidR="008379D0" w:rsidRPr="008379D0" w:rsidRDefault="008379D0" w:rsidP="008379D0">
      <w:pPr>
        <w:widowControl/>
        <w:adjustRightInd w:val="0"/>
        <w:snapToGrid w:val="0"/>
        <w:spacing w:line="360" w:lineRule="auto"/>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（一）奖励分</w:t>
      </w:r>
    </w:p>
    <w:p w:rsidR="008379D0" w:rsidRPr="008379D0" w:rsidRDefault="008379D0" w:rsidP="008379D0">
      <w:pPr>
        <w:widowControl/>
        <w:adjustRightInd w:val="0"/>
        <w:snapToGrid w:val="0"/>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（1）校级社团职务加分根据校团委提供的评分表经学院认定后赋分；</w:t>
      </w:r>
    </w:p>
    <w:p w:rsidR="008379D0" w:rsidRPr="008379D0" w:rsidRDefault="008379D0" w:rsidP="008379D0">
      <w:pPr>
        <w:widowControl/>
        <w:adjustRightInd w:val="0"/>
        <w:snapToGrid w:val="0"/>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（2）其他挂靠在校团委、校社联、院团委、院社联下被认定为兴趣类社团的，社团正副职、部长、部委均不加分；</w:t>
      </w:r>
    </w:p>
    <w:p w:rsidR="008379D0" w:rsidRPr="008379D0" w:rsidRDefault="008379D0" w:rsidP="008379D0">
      <w:pPr>
        <w:widowControl/>
        <w:adjustRightInd w:val="0"/>
        <w:snapToGrid w:val="0"/>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3）社会工作奖励分中，院研会主席、副主席，院青协会长、副会长向学院综合测评领导小组及学院社团主管部门进行工作总结汇报，由两方分别打分，各占1/2。院研会部长、院青协部长分别向院研会主席、青协会长进行工作总结汇报并由院研会主席、青协会长打分。班长、副班长、党支书、团支书、班委、党支部委员、团支部委员由辅导员和班级分别打分，各占1/2；宿舍长由宿舍成员打分。打分范围必须在《中国石油大学（北京）研究生综合测评办法》规定之内。</w:t>
      </w:r>
    </w:p>
    <w:p w:rsidR="008379D0" w:rsidRPr="008379D0" w:rsidRDefault="008379D0" w:rsidP="008379D0">
      <w:pPr>
        <w:widowControl/>
        <w:adjustRightInd w:val="0"/>
        <w:snapToGrid w:val="0"/>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（4）积极参加学校或学院组织的各类活动（如讲座、论坛等），每参加1次加0.5分，5分封顶；</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（5）学年内志愿服务时间0-10小时的加1分，达到10-20小时的加2分；20-30小时的加3分，30小时以上的加4分。志愿者服务时长以团委</w:t>
      </w:r>
      <w:r w:rsidRPr="008379D0">
        <w:rPr>
          <w:rFonts w:ascii="仿宋_GB2312" w:eastAsia="仿宋_GB2312" w:hAnsi="仿宋" w:cs="宋体" w:hint="eastAsia"/>
          <w:kern w:val="0"/>
          <w:sz w:val="28"/>
          <w:szCs w:val="28"/>
        </w:rPr>
        <w:lastRenderedPageBreak/>
        <w:t>认定、院青协及院办统计为准，学生自己参与的志愿活动项目需提供正规志愿证书（需注明志愿时长）并提交至研究生综合测评工作小组进行认定。</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（6）所有有偿类社会职务（如学校的学业辅导员、朋辈辅导员、勤工助学等）和有物质奖励的荣誉称号均不加分。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（7）积极参加暑期社会实践，通过立项答辩并取得实践成果的，队长加3分，队员加1分,此项不累计加分。</w:t>
      </w:r>
    </w:p>
    <w:p w:rsidR="008379D0" w:rsidRPr="008379D0" w:rsidRDefault="008379D0" w:rsidP="008379D0">
      <w:pPr>
        <w:spacing w:line="360" w:lineRule="auto"/>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（二）惩罚分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（1）违反科学道德和学术规范并造成不良影响者，一次扣50-100分；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（2）在学校和学院组织的安全卫生检查中，宿舍存放有违章电器的，给予院内通报批评，综合测评德育分扣2分。</w:t>
      </w:r>
    </w:p>
    <w:p w:rsidR="008379D0" w:rsidRPr="008379D0" w:rsidRDefault="008379D0" w:rsidP="008379D0">
      <w:pPr>
        <w:spacing w:line="360" w:lineRule="auto"/>
        <w:rPr>
          <w:rFonts w:ascii="仿宋_GB2312" w:eastAsia="仿宋_GB2312" w:hAnsi="仿宋" w:cs="宋体" w:hint="eastAsia"/>
          <w:b/>
          <w:kern w:val="0"/>
          <w:sz w:val="28"/>
          <w:szCs w:val="28"/>
        </w:rPr>
      </w:pPr>
      <w:r w:rsidRPr="008379D0">
        <w:rPr>
          <w:rFonts w:ascii="仿宋_GB2312" w:eastAsia="仿宋_GB2312" w:hAnsi="仿宋" w:cs="宋体" w:hint="eastAsia"/>
          <w:b/>
          <w:kern w:val="0"/>
          <w:sz w:val="28"/>
          <w:szCs w:val="28"/>
        </w:rPr>
        <w:t>二、智育评估</w:t>
      </w:r>
    </w:p>
    <w:p w:rsidR="008379D0" w:rsidRPr="008379D0" w:rsidRDefault="008379D0" w:rsidP="008379D0">
      <w:pPr>
        <w:spacing w:line="360" w:lineRule="auto"/>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（一）奖励分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color w:val="000000"/>
          <w:kern w:val="0"/>
          <w:sz w:val="28"/>
          <w:szCs w:val="28"/>
        </w:rPr>
        <w:t>（1）中国石油大学（北京）研究生学术论坛获奖者，院级一、二、三等奖按照2分、1.5分、1分附加，成功提交作品并未获奖者按照0.5分附加，校级一、二、三等奖按照3.5分、3分、2.5分附加，同一作品取最高获奖等级进行加分；</w:t>
      </w:r>
      <w:r w:rsidRPr="008379D0">
        <w:rPr>
          <w:rFonts w:ascii="仿宋_GB2312" w:eastAsia="仿宋_GB2312" w:hAnsi="仿宋" w:cs="宋体" w:hint="eastAsia"/>
          <w:kern w:val="0"/>
          <w:sz w:val="28"/>
          <w:szCs w:val="28"/>
        </w:rPr>
        <w:t>全国研究生暑期学校等属于校园文化的活动，不加分；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 xml:space="preserve">（2）学术学位研究生和博士研究生以“中国石油大学（北京）”为第一单位发表的论文方可按《中国石油大学（北京）研究生综合测评办法》予以加分； </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3）在正式出版的学术刊物（有正式刊号）上发表学术论文，以论文原件为准，涉及内容须与本人所做科技创新课题或所学课程密切相关。论文必须是学生本人实际完成，若发现抄袭、剽窃、他人代写等学术不端现</w:t>
      </w:r>
      <w:r w:rsidRPr="008379D0">
        <w:rPr>
          <w:rFonts w:ascii="仿宋_GB2312" w:eastAsia="仿宋_GB2312" w:hAnsi="仿宋" w:cs="宋体" w:hint="eastAsia"/>
          <w:kern w:val="0"/>
          <w:sz w:val="28"/>
          <w:szCs w:val="28"/>
        </w:rPr>
        <w:lastRenderedPageBreak/>
        <w:t>象，取消一切相关的加分，并取消当年所有评优资格，同时取消硕博连读资格和毕业生评优资格。针对同一内容的论文和成果取单项最高分，不累加；不同内容的论文和成果可累加；学生每学年每人学术论文加分最多累加3篇，其中第一篇正常加分，第二篇加分分值*0.5，第三篇加分分值*0.1。</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（4）在学术会议上本人宣读并发表与所学专业有关的学术论文，根据学术会议级别，分成三档加分，分别为5分、3分、1分，发表论文摘要，按本规定的1/4加分，加分顺序按发表文章中作者排名顺序为准；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（5）所有发表的论文或成果获奖均需附有复印件，附导师签字确定后方可加分。论文发表及成果获奖的时间需在2017年9月10日-2018年9月10日之内。</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（6）关于发表学术论文的补充条例：</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fldChar w:fldCharType="begin"/>
      </w:r>
      <w:r w:rsidRPr="008379D0">
        <w:rPr>
          <w:rFonts w:ascii="仿宋_GB2312" w:eastAsia="仿宋_GB2312" w:hAnsi="仿宋" w:cs="宋体" w:hint="eastAsia"/>
          <w:kern w:val="0"/>
          <w:sz w:val="28"/>
          <w:szCs w:val="28"/>
        </w:rPr>
        <w:instrText xml:space="preserve"> = 1 \* GB3 </w:instrText>
      </w:r>
      <w:r w:rsidRPr="008379D0">
        <w:rPr>
          <w:rFonts w:ascii="仿宋_GB2312" w:eastAsia="仿宋_GB2312" w:hAnsi="仿宋" w:cs="宋体" w:hint="eastAsia"/>
          <w:kern w:val="0"/>
          <w:sz w:val="28"/>
          <w:szCs w:val="28"/>
        </w:rPr>
        <w:fldChar w:fldCharType="separate"/>
      </w:r>
      <w:r w:rsidRPr="008379D0">
        <w:rPr>
          <w:rFonts w:ascii="仿宋_GB2312" w:eastAsia="仿宋_GB2312" w:hAnsi="仿宋" w:cs="宋体" w:hint="eastAsia"/>
          <w:kern w:val="0"/>
          <w:sz w:val="28"/>
          <w:szCs w:val="28"/>
        </w:rPr>
        <w:t>①</w:t>
      </w:r>
      <w:r w:rsidRPr="008379D0">
        <w:rPr>
          <w:rFonts w:ascii="仿宋_GB2312" w:eastAsia="仿宋_GB2312" w:hAnsi="仿宋" w:cs="宋体" w:hint="eastAsia"/>
          <w:kern w:val="0"/>
          <w:sz w:val="28"/>
          <w:szCs w:val="28"/>
        </w:rPr>
        <w:fldChar w:fldCharType="end"/>
      </w:r>
      <w:r w:rsidRPr="008379D0">
        <w:rPr>
          <w:rFonts w:ascii="仿宋_GB2312" w:eastAsia="仿宋_GB2312" w:hAnsi="仿宋" w:cs="宋体" w:hint="eastAsia"/>
          <w:kern w:val="0"/>
          <w:sz w:val="28"/>
          <w:szCs w:val="28"/>
        </w:rPr>
        <w:t>排名前三名才能加分；</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fldChar w:fldCharType="begin"/>
      </w:r>
      <w:r w:rsidRPr="008379D0">
        <w:rPr>
          <w:rFonts w:ascii="仿宋_GB2312" w:eastAsia="仿宋_GB2312" w:hAnsi="仿宋" w:cs="宋体" w:hint="eastAsia"/>
          <w:kern w:val="0"/>
          <w:sz w:val="28"/>
          <w:szCs w:val="28"/>
        </w:rPr>
        <w:instrText xml:space="preserve"> = 2 \* GB3 </w:instrText>
      </w:r>
      <w:r w:rsidRPr="008379D0">
        <w:rPr>
          <w:rFonts w:ascii="仿宋_GB2312" w:eastAsia="仿宋_GB2312" w:hAnsi="仿宋" w:cs="宋体" w:hint="eastAsia"/>
          <w:kern w:val="0"/>
          <w:sz w:val="28"/>
          <w:szCs w:val="28"/>
        </w:rPr>
        <w:fldChar w:fldCharType="separate"/>
      </w:r>
      <w:r w:rsidRPr="008379D0">
        <w:rPr>
          <w:rFonts w:ascii="仿宋_GB2312" w:eastAsia="仿宋_GB2312" w:hAnsi="仿宋" w:cs="宋体" w:hint="eastAsia"/>
          <w:kern w:val="0"/>
          <w:sz w:val="28"/>
          <w:szCs w:val="28"/>
        </w:rPr>
        <w:t>②</w:t>
      </w:r>
      <w:r w:rsidRPr="008379D0">
        <w:rPr>
          <w:rFonts w:ascii="仿宋_GB2312" w:eastAsia="仿宋_GB2312" w:hAnsi="仿宋" w:cs="宋体" w:hint="eastAsia"/>
          <w:kern w:val="0"/>
          <w:sz w:val="28"/>
          <w:szCs w:val="28"/>
        </w:rPr>
        <w:fldChar w:fldCharType="end"/>
      </w:r>
      <w:r w:rsidRPr="008379D0">
        <w:rPr>
          <w:rFonts w:ascii="仿宋_GB2312" w:eastAsia="仿宋_GB2312" w:hAnsi="仿宋" w:cs="宋体" w:hint="eastAsia"/>
          <w:kern w:val="0"/>
          <w:sz w:val="28"/>
          <w:szCs w:val="28"/>
        </w:rPr>
        <w:t>排名第三者，如果前面有导师，则加分，无导师则不加；</w:t>
      </w:r>
    </w:p>
    <w:p w:rsidR="008379D0" w:rsidRPr="008379D0" w:rsidRDefault="008379D0" w:rsidP="008379D0">
      <w:pPr>
        <w:adjustRightInd w:val="0"/>
        <w:snapToGrid w:val="0"/>
        <w:spacing w:line="360" w:lineRule="auto"/>
        <w:ind w:leftChars="228" w:left="759" w:hangingChars="100" w:hanging="28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③此处导师为学生入学时学籍信息登记的导师姓名，其他老师按照学生计算。</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具体说明举例：</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学生1、导师，导师、学生1和只有学生自己：学生加全部分值</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导师、学生1、学生2，学生1、导师、学生2和学生1、学生2、导师：学生1加分：论文分值的50%；学生2加分：剩余50%分值/文章作者总数。</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7）发表与本人所学专业有关的学术论文、获得专利授权、获得软件著作权等，需在规定时间之前将所有相关原件、复印件或者证明材料提交学院研究生综合测评领导小组备案，由小组成员进行认定，软件著作权加分0.1分/项。</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（二）惩罚分</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lastRenderedPageBreak/>
        <w:t>惩罚分由学院研究生综合测评领导小组核定。扣分细则如下：</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1.经鉴定确认剽窃他人学术成果者或非法转让技术成果者，扣30分；</w:t>
      </w:r>
    </w:p>
    <w:p w:rsidR="008379D0" w:rsidRPr="008379D0" w:rsidRDefault="008379D0" w:rsidP="008379D0">
      <w:pPr>
        <w:adjustRightInd w:val="0"/>
        <w:snapToGrid w:val="0"/>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3.经鉴定确认个人考试成绩造假者，扣30分。</w:t>
      </w:r>
    </w:p>
    <w:p w:rsidR="008379D0" w:rsidRPr="008379D0" w:rsidRDefault="008379D0" w:rsidP="008379D0">
      <w:pPr>
        <w:spacing w:line="360" w:lineRule="auto"/>
        <w:rPr>
          <w:rFonts w:ascii="仿宋_GB2312" w:eastAsia="仿宋_GB2312" w:hAnsi="仿宋" w:cs="宋体" w:hint="eastAsia"/>
          <w:b/>
          <w:kern w:val="0"/>
          <w:sz w:val="28"/>
          <w:szCs w:val="28"/>
        </w:rPr>
      </w:pPr>
      <w:r w:rsidRPr="008379D0">
        <w:rPr>
          <w:rFonts w:ascii="仿宋_GB2312" w:eastAsia="仿宋_GB2312" w:hAnsi="仿宋" w:cs="宋体" w:hint="eastAsia"/>
          <w:b/>
          <w:kern w:val="0"/>
          <w:sz w:val="28"/>
          <w:szCs w:val="28"/>
        </w:rPr>
        <w:t>三、文体评估</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（1）文体活动加分项仅依据校团委和学校体育教学部组织的校级及校级以上活动加分,各类兴趣社团活动不加分；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2）体育比赛共分为八大类：篮球、足球、排球、运动会田赛、运动会径赛、游泳、羽毛球、乒乓球。加分项目按以上八大类进行测评，最多选两类，同类取一个最高奖励后，该类其他奖励分乘以0.2的系数后累加；</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（3）虽未获得名次但积极参加校、院组织的文体活动，参与两次及以上者加2分；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（4）集体项目由参与者分享加分。</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本《补充规定》中未涉及到的其他所有加分项目和分值参照《中国石油大学（北京）研究生综合测评办法》的规则予以加分。所有学生申报加分内容务必真实，如在公示或上报后，被举报或核查出弄虚作假行为的，将直接给予纪律处分，并取消研究生阶段所有评优资格。</w:t>
      </w:r>
    </w:p>
    <w:p w:rsidR="008379D0" w:rsidRPr="008379D0" w:rsidRDefault="008379D0" w:rsidP="008379D0">
      <w:pPr>
        <w:spacing w:line="360" w:lineRule="auto"/>
        <w:ind w:firstLineChars="200" w:firstLine="560"/>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德育、智育及文体活动测评中的所有加分项均需提供相应证明，综合测评工作小组内部将统一意见后的加分项分类汇总提交至学院综合测评领导小组进行认定赋分，签字盖章后的赋分表不再更改。</w:t>
      </w:r>
    </w:p>
    <w:p w:rsidR="008379D0" w:rsidRPr="008379D0" w:rsidRDefault="008379D0" w:rsidP="008379D0">
      <w:pPr>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学院研究生综合测评工作小组审定评定完毕后向学生公布初评结果，公示期限为三日。三日之内无异议则评定结果生效。若有异议，学院研究生综合测评工作小组负责调查核实，若有调整，将调整结果反馈给有异议</w:t>
      </w:r>
      <w:r w:rsidRPr="008379D0">
        <w:rPr>
          <w:rFonts w:ascii="仿宋_GB2312" w:eastAsia="仿宋_GB2312" w:hAnsi="仿宋" w:cs="宋体" w:hint="eastAsia"/>
          <w:kern w:val="0"/>
          <w:sz w:val="28"/>
          <w:szCs w:val="28"/>
        </w:rPr>
        <w:lastRenderedPageBreak/>
        <w:t>学生。异议人必须以书面形式反映异议，异议书必须署真实姓名，便于调查核实。</w:t>
      </w:r>
    </w:p>
    <w:p w:rsidR="008379D0" w:rsidRPr="008379D0" w:rsidRDefault="008379D0" w:rsidP="008379D0">
      <w:pPr>
        <w:spacing w:line="360" w:lineRule="auto"/>
        <w:ind w:firstLineChars="200" w:firstLine="560"/>
        <w:jc w:val="left"/>
        <w:rPr>
          <w:rFonts w:ascii="仿宋_GB2312" w:eastAsia="仿宋_GB2312" w:hAnsi="仿宋" w:cs="宋体" w:hint="eastAsia"/>
          <w:kern w:val="0"/>
          <w:sz w:val="28"/>
          <w:szCs w:val="28"/>
        </w:rPr>
      </w:pPr>
      <w:r w:rsidRPr="008379D0">
        <w:rPr>
          <w:rFonts w:ascii="仿宋_GB2312" w:eastAsia="仿宋_GB2312" w:hAnsi="仿宋" w:cs="宋体" w:hint="eastAsia"/>
          <w:kern w:val="0"/>
          <w:sz w:val="28"/>
          <w:szCs w:val="28"/>
        </w:rPr>
        <w:t>本办法解释权归</w:t>
      </w:r>
      <w:r w:rsidRPr="008379D0">
        <w:rPr>
          <w:rFonts w:ascii="仿宋_GB2312" w:eastAsia="仿宋_GB2312" w:hAnsi="仿宋" w:cs="宋体" w:hint="eastAsia"/>
          <w:color w:val="000000"/>
          <w:kern w:val="0"/>
          <w:sz w:val="28"/>
          <w:szCs w:val="28"/>
        </w:rPr>
        <w:t>马克思主义学院综合测评领导小组</w:t>
      </w:r>
      <w:r w:rsidRPr="008379D0">
        <w:rPr>
          <w:rFonts w:ascii="仿宋_GB2312" w:eastAsia="仿宋_GB2312" w:hAnsi="仿宋" w:cs="宋体" w:hint="eastAsia"/>
          <w:kern w:val="0"/>
          <w:sz w:val="28"/>
          <w:szCs w:val="28"/>
        </w:rPr>
        <w:t>。</w:t>
      </w:r>
    </w:p>
    <w:p w:rsidR="008379D0" w:rsidRPr="008379D0" w:rsidRDefault="008379D0" w:rsidP="008379D0">
      <w:pPr>
        <w:spacing w:line="360" w:lineRule="auto"/>
        <w:ind w:firstLineChars="200" w:firstLine="560"/>
        <w:jc w:val="left"/>
        <w:rPr>
          <w:rFonts w:ascii="仿宋_GB2312" w:eastAsia="仿宋_GB2312" w:hAnsi="仿宋" w:cs="宋体" w:hint="eastAsia"/>
          <w:kern w:val="0"/>
          <w:sz w:val="28"/>
          <w:szCs w:val="28"/>
        </w:rPr>
      </w:pPr>
    </w:p>
    <w:p w:rsidR="008379D0" w:rsidRDefault="008379D0" w:rsidP="008379D0">
      <w:pPr>
        <w:spacing w:line="360" w:lineRule="auto"/>
        <w:ind w:right="560" w:firstLineChars="1750" w:firstLine="4900"/>
        <w:rPr>
          <w:rFonts w:ascii="仿宋_GB2312" w:eastAsia="仿宋_GB2312" w:hAnsi="宋体" w:cs="宋体" w:hint="eastAsia"/>
          <w:color w:val="2A2F35"/>
          <w:kern w:val="0"/>
          <w:sz w:val="28"/>
          <w:szCs w:val="28"/>
        </w:rPr>
      </w:pPr>
      <w:r w:rsidRPr="008379D0">
        <w:rPr>
          <w:rFonts w:ascii="仿宋_GB2312" w:eastAsia="仿宋_GB2312" w:hAnsi="仿宋" w:cs="宋体" w:hint="eastAsia"/>
          <w:kern w:val="0"/>
          <w:sz w:val="28"/>
          <w:szCs w:val="28"/>
        </w:rPr>
        <w:t>马克思主义学院</w:t>
      </w:r>
    </w:p>
    <w:p w:rsidR="00A2003E" w:rsidRPr="0035623E" w:rsidRDefault="00A2003E" w:rsidP="0035623E">
      <w:pPr>
        <w:adjustRightInd w:val="0"/>
        <w:snapToGrid w:val="0"/>
        <w:spacing w:line="360" w:lineRule="auto"/>
        <w:ind w:firstLineChars="1750" w:firstLine="4900"/>
        <w:rPr>
          <w:sz w:val="28"/>
          <w:szCs w:val="28"/>
        </w:rPr>
      </w:pPr>
      <w:r w:rsidRPr="0035623E">
        <w:rPr>
          <w:rFonts w:ascii="仿宋_GB2312" w:eastAsia="仿宋_GB2312" w:hAnsi="宋体" w:cs="宋体" w:hint="eastAsia"/>
          <w:color w:val="2A2F35"/>
          <w:kern w:val="0"/>
          <w:sz w:val="28"/>
          <w:szCs w:val="28"/>
        </w:rPr>
        <w:t>2018年</w:t>
      </w:r>
      <w:r w:rsidR="008379D0">
        <w:rPr>
          <w:rFonts w:ascii="仿宋_GB2312" w:eastAsia="仿宋_GB2312" w:hAnsi="宋体" w:cs="宋体" w:hint="eastAsia"/>
          <w:color w:val="2A2F35"/>
          <w:kern w:val="0"/>
          <w:sz w:val="28"/>
          <w:szCs w:val="28"/>
        </w:rPr>
        <w:t>6</w:t>
      </w:r>
      <w:r w:rsidRPr="0035623E">
        <w:rPr>
          <w:rFonts w:ascii="仿宋_GB2312" w:eastAsia="仿宋_GB2312" w:hAnsi="宋体" w:cs="宋体" w:hint="eastAsia"/>
          <w:color w:val="2A2F35"/>
          <w:kern w:val="0"/>
          <w:sz w:val="28"/>
          <w:szCs w:val="28"/>
        </w:rPr>
        <w:t>月</w:t>
      </w:r>
      <w:r w:rsidR="008379D0">
        <w:rPr>
          <w:rFonts w:ascii="仿宋_GB2312" w:eastAsia="仿宋_GB2312" w:hAnsi="宋体" w:cs="宋体" w:hint="eastAsia"/>
          <w:color w:val="2A2F35"/>
          <w:kern w:val="0"/>
          <w:sz w:val="28"/>
          <w:szCs w:val="28"/>
        </w:rPr>
        <w:t>4</w:t>
      </w:r>
      <w:r w:rsidRPr="0035623E">
        <w:rPr>
          <w:rFonts w:ascii="仿宋_GB2312" w:eastAsia="仿宋_GB2312" w:hAnsi="宋体" w:cs="宋体" w:hint="eastAsia"/>
          <w:color w:val="2A2F35"/>
          <w:kern w:val="0"/>
          <w:sz w:val="28"/>
          <w:szCs w:val="28"/>
        </w:rPr>
        <w:t>日</w:t>
      </w:r>
    </w:p>
    <w:sectPr w:rsidR="00A2003E" w:rsidRPr="0035623E" w:rsidSect="0035623E">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2F3D"/>
    <w:rsid w:val="0035623E"/>
    <w:rsid w:val="003A38E7"/>
    <w:rsid w:val="003C0A82"/>
    <w:rsid w:val="004470A2"/>
    <w:rsid w:val="00484A5B"/>
    <w:rsid w:val="004B2F3D"/>
    <w:rsid w:val="00707940"/>
    <w:rsid w:val="008379D0"/>
    <w:rsid w:val="00A2003E"/>
    <w:rsid w:val="00B166D4"/>
    <w:rsid w:val="00B53AD6"/>
    <w:rsid w:val="00B540C5"/>
    <w:rsid w:val="00B747EA"/>
    <w:rsid w:val="00CB0D11"/>
    <w:rsid w:val="00E931DB"/>
    <w:rsid w:val="00EC6CFA"/>
    <w:rsid w:val="00F763D6"/>
    <w:rsid w:val="00F76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3714032">
      <w:bodyDiv w:val="1"/>
      <w:marLeft w:val="0"/>
      <w:marRight w:val="0"/>
      <w:marTop w:val="0"/>
      <w:marBottom w:val="0"/>
      <w:divBdr>
        <w:top w:val="none" w:sz="0" w:space="0" w:color="auto"/>
        <w:left w:val="none" w:sz="0" w:space="0" w:color="auto"/>
        <w:bottom w:val="none" w:sz="0" w:space="0" w:color="auto"/>
        <w:right w:val="none" w:sz="0" w:space="0" w:color="auto"/>
      </w:divBdr>
      <w:divsChild>
        <w:div w:id="606500624">
          <w:marLeft w:val="0"/>
          <w:marRight w:val="0"/>
          <w:marTop w:val="0"/>
          <w:marBottom w:val="0"/>
          <w:divBdr>
            <w:top w:val="none" w:sz="0" w:space="0" w:color="auto"/>
            <w:left w:val="none" w:sz="0" w:space="0" w:color="auto"/>
            <w:bottom w:val="none" w:sz="0" w:space="0" w:color="auto"/>
            <w:right w:val="none" w:sz="0" w:space="0" w:color="auto"/>
          </w:divBdr>
          <w:divsChild>
            <w:div w:id="81755729">
              <w:marLeft w:val="0"/>
              <w:marRight w:val="0"/>
              <w:marTop w:val="0"/>
              <w:marBottom w:val="0"/>
              <w:divBdr>
                <w:top w:val="none" w:sz="0" w:space="0" w:color="auto"/>
                <w:left w:val="none" w:sz="0" w:space="0" w:color="auto"/>
                <w:bottom w:val="none" w:sz="0" w:space="0" w:color="auto"/>
                <w:right w:val="none" w:sz="0" w:space="0" w:color="auto"/>
              </w:divBdr>
              <w:divsChild>
                <w:div w:id="1773697249">
                  <w:marLeft w:val="0"/>
                  <w:marRight w:val="0"/>
                  <w:marTop w:val="0"/>
                  <w:marBottom w:val="0"/>
                  <w:divBdr>
                    <w:top w:val="none" w:sz="0" w:space="0" w:color="auto"/>
                    <w:left w:val="none" w:sz="0" w:space="0" w:color="auto"/>
                    <w:bottom w:val="none" w:sz="0" w:space="0" w:color="auto"/>
                    <w:right w:val="none" w:sz="0" w:space="0" w:color="auto"/>
                  </w:divBdr>
                  <w:divsChild>
                    <w:div w:id="102574029">
                      <w:marLeft w:val="0"/>
                      <w:marRight w:val="0"/>
                      <w:marTop w:val="0"/>
                      <w:marBottom w:val="0"/>
                      <w:divBdr>
                        <w:top w:val="none" w:sz="0" w:space="0" w:color="auto"/>
                        <w:left w:val="none" w:sz="0" w:space="0" w:color="auto"/>
                        <w:bottom w:val="none" w:sz="0" w:space="0" w:color="auto"/>
                        <w:right w:val="none" w:sz="0" w:space="0" w:color="auto"/>
                      </w:divBdr>
                      <w:divsChild>
                        <w:div w:id="252856405">
                          <w:marLeft w:val="0"/>
                          <w:marRight w:val="0"/>
                          <w:marTop w:val="300"/>
                          <w:marBottom w:val="0"/>
                          <w:divBdr>
                            <w:top w:val="none" w:sz="0" w:space="0" w:color="auto"/>
                            <w:left w:val="none" w:sz="0" w:space="0" w:color="auto"/>
                            <w:bottom w:val="none" w:sz="0" w:space="0" w:color="auto"/>
                            <w:right w:val="none" w:sz="0" w:space="0" w:color="auto"/>
                          </w:divBdr>
                          <w:divsChild>
                            <w:div w:id="654456319">
                              <w:marLeft w:val="0"/>
                              <w:marRight w:val="225"/>
                              <w:marTop w:val="0"/>
                              <w:marBottom w:val="300"/>
                              <w:divBdr>
                                <w:top w:val="single" w:sz="6" w:space="0" w:color="E6E6E6"/>
                                <w:left w:val="single" w:sz="6" w:space="0" w:color="E6E6E6"/>
                                <w:bottom w:val="single" w:sz="6" w:space="0" w:color="E6E6E6"/>
                                <w:right w:val="single" w:sz="6" w:space="0" w:color="E6E6E6"/>
                              </w:divBdr>
                              <w:divsChild>
                                <w:div w:id="1161655232">
                                  <w:marLeft w:val="0"/>
                                  <w:marRight w:val="0"/>
                                  <w:marTop w:val="0"/>
                                  <w:marBottom w:val="0"/>
                                  <w:divBdr>
                                    <w:top w:val="none" w:sz="0" w:space="0" w:color="auto"/>
                                    <w:left w:val="none" w:sz="0" w:space="0" w:color="auto"/>
                                    <w:bottom w:val="none" w:sz="0" w:space="0" w:color="auto"/>
                                    <w:right w:val="none" w:sz="0" w:space="0" w:color="auto"/>
                                  </w:divBdr>
                                  <w:divsChild>
                                    <w:div w:id="969089068">
                                      <w:marLeft w:val="0"/>
                                      <w:marRight w:val="0"/>
                                      <w:marTop w:val="0"/>
                                      <w:marBottom w:val="0"/>
                                      <w:divBdr>
                                        <w:top w:val="none" w:sz="0" w:space="0" w:color="auto"/>
                                        <w:left w:val="none" w:sz="0" w:space="0" w:color="auto"/>
                                        <w:bottom w:val="none" w:sz="0" w:space="0" w:color="auto"/>
                                        <w:right w:val="none" w:sz="0" w:space="0" w:color="auto"/>
                                      </w:divBdr>
                                      <w:divsChild>
                                        <w:div w:id="805588355">
                                          <w:marLeft w:val="0"/>
                                          <w:marRight w:val="0"/>
                                          <w:marTop w:val="0"/>
                                          <w:marBottom w:val="0"/>
                                          <w:divBdr>
                                            <w:top w:val="none" w:sz="0" w:space="0" w:color="auto"/>
                                            <w:left w:val="none" w:sz="0" w:space="0" w:color="auto"/>
                                            <w:bottom w:val="none" w:sz="0" w:space="0" w:color="auto"/>
                                            <w:right w:val="none" w:sz="0" w:space="0" w:color="auto"/>
                                          </w:divBdr>
                                          <w:divsChild>
                                            <w:div w:id="2053111819">
                                              <w:marLeft w:val="0"/>
                                              <w:marRight w:val="0"/>
                                              <w:marTop w:val="0"/>
                                              <w:marBottom w:val="0"/>
                                              <w:divBdr>
                                                <w:top w:val="none" w:sz="0" w:space="0" w:color="auto"/>
                                                <w:left w:val="none" w:sz="0" w:space="0" w:color="auto"/>
                                                <w:bottom w:val="none" w:sz="0" w:space="0" w:color="auto"/>
                                                <w:right w:val="none" w:sz="0" w:space="0" w:color="auto"/>
                                              </w:divBdr>
                                              <w:divsChild>
                                                <w:div w:id="1479415412">
                                                  <w:marLeft w:val="0"/>
                                                  <w:marRight w:val="0"/>
                                                  <w:marTop w:val="0"/>
                                                  <w:marBottom w:val="0"/>
                                                  <w:divBdr>
                                                    <w:top w:val="none" w:sz="0" w:space="0" w:color="auto"/>
                                                    <w:left w:val="none" w:sz="0" w:space="0" w:color="auto"/>
                                                    <w:bottom w:val="none" w:sz="0" w:space="0" w:color="auto"/>
                                                    <w:right w:val="none" w:sz="0" w:space="0" w:color="auto"/>
                                                  </w:divBdr>
                                                  <w:divsChild>
                                                    <w:div w:id="1076709584">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370</Words>
  <Characters>2110</Characters>
  <Application>Microsoft Office Word</Application>
  <DocSecurity>0</DocSecurity>
  <Lines>17</Lines>
  <Paragraphs>4</Paragraphs>
  <ScaleCrop>false</ScaleCrop>
  <Company>china</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2018-06-04T06:06:00Z</dcterms:created>
  <dcterms:modified xsi:type="dcterms:W3CDTF">2018-06-04T06:09:00Z</dcterms:modified>
</cp:coreProperties>
</file>